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南京农业大学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研究生优秀教材建设项目申报办法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64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发挥研究生教材在</w:t>
      </w:r>
      <w:r>
        <w:rPr>
          <w:rFonts w:hint="eastAsia" w:ascii="方正仿宋_GBK" w:hAnsi="方正仿宋_GBK" w:eastAsia="方正仿宋_GBK" w:cs="方正仿宋_GBK"/>
          <w:kern w:val="0"/>
          <w:sz w:val="28"/>
          <w:szCs w:val="28"/>
          <w:lang w:val="en-US" w:eastAsia="zh-CN" w:bidi="ar"/>
        </w:rPr>
        <w:t>人才培养和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课程教学中的重要作用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kern w:val="0"/>
          <w:sz w:val="28"/>
          <w:szCs w:val="28"/>
          <w:lang w:val="en-US" w:eastAsia="zh-CN" w:bidi="ar"/>
        </w:rPr>
        <w:t>进一步提高教育教学质量，结合高等教育改革发展的新形势，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加快建成一批反映我校学科发展和教学改革成果的研究生教材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现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启动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研究生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优秀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教材建设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项目申报工作。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2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CN"/>
        </w:rPr>
        <w:t>一、立项范围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2021年研究生培养方案中所列课程教材。本年度拟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计划立项建设10项，项目建设周期2年。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2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（一）教材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坚持正确的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价值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方向和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育人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导向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。必须旗帜鲜明，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体现党和国家对教育的基本要求；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落实立德树人根本任务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理论联系实际，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编排科学合理，符合学术规范；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展现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教育教学改革的先进理念，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遵循教育教学规律和人才培养规律。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（二）教材坚持突出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学科特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色和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专业特点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。教材应充分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反映具有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专业特点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新理论、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新方法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、新技术、新成果；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结构设计合理严谨，选材恰当准确，具有创新性，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体现学科优势，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能全面阐述本学科知识体系；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鼓励传统特色优势学科、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教学急需、填补空白的新兴学科、交叉学科教材申报。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（三）教材编写团队结构合理，综合实力较强。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教材主编应具有副高及以上职称，理论水平高、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学术功底扎实；有良好的思想品德、社会形象和师德师风，教学经验和实践经历丰富；有充足时间和精力从事教材编写工作，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能够根据新形势新要求，及时修订完善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。鼓励优秀教师组织编写团队申报。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2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>三、项目管理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组织管理。项目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申报与评审采取“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自愿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申报、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学院初审、学校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评审”的办法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。学院积极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组织研究生教材建设项目申报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制定本学院教材建设规划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做好相关材料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28"/>
          <w:szCs w:val="28"/>
          <w:lang w:val="en-US" w:eastAsia="zh-CN"/>
        </w:rPr>
        <w:t>选题内容审核，编写人员资格审查，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评价教材建设水平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推荐优秀教材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做好项目过程管理，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监督项目建设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进展和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经费使用情况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保障项目建设出水平、有成效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（二）资助标准。本项目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每项资助5万元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经费分批拨付，获批立项给予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1万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元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启动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经费，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获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准正式出版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（须在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2023年12月31日前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取得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ISBN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书号与</w:t>
      </w:r>
      <w:r>
        <w:rPr>
          <w:rFonts w:hint="eastAsia" w:ascii="方正仿宋_GBK" w:hAnsi="方正仿宋_GBK" w:eastAsia="方正仿宋_GBK" w:cs="方正仿宋_GBK"/>
          <w:i w:val="0"/>
          <w:caps w:val="0"/>
          <w:color w:val="auto"/>
          <w:spacing w:val="0"/>
          <w:sz w:val="28"/>
          <w:szCs w:val="28"/>
          <w:shd w:val="clear" w:fill="FFFFFF"/>
        </w:rPr>
        <w:t>CIP核准字号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）给予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元经费支持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采用研究生院核定后拨付学院的方式，经费使用由项目负责人负责，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按照南京农业大学财务管理制度要求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规范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使用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结项要求。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研究生院适时组织开展中期检查、结项验收，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负责人做好项目建设、检查、验收等工作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。结项验收须正式出版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获得样书，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验收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合格者将优先考虑推荐申报省级及以上研究生优秀教材，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验收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不合格者将取消3年内校级教材类项目申请资格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 xml:space="preserve">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：《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南京农业大学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研究生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优秀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教材建设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申报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表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-3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-3"/>
          <w:sz w:val="28"/>
          <w:szCs w:val="28"/>
          <w:lang w:eastAsia="zh-CN"/>
        </w:r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附件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80" w:lineRule="auto"/>
        <w:ind w:left="0" w:right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kern w:val="0"/>
          <w:sz w:val="48"/>
          <w:szCs w:val="48"/>
          <w:lang w:val="zh-CN" w:bidi="zh-CN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48"/>
          <w:szCs w:val="48"/>
          <w:lang w:val="zh-CN" w:eastAsia="zh-CN" w:bidi="zh-CN"/>
        </w:rPr>
        <w:t>南京农业</w:t>
      </w:r>
      <w:r>
        <w:rPr>
          <w:rFonts w:hint="eastAsia" w:ascii="华文中宋" w:hAnsi="华文中宋" w:eastAsia="华文中宋" w:cs="华文中宋"/>
          <w:b/>
          <w:bCs/>
          <w:kern w:val="0"/>
          <w:sz w:val="48"/>
          <w:szCs w:val="48"/>
          <w:lang w:val="zh-CN" w:bidi="zh-CN"/>
        </w:rPr>
        <w:t>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80" w:lineRule="auto"/>
        <w:ind w:left="0" w:right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kern w:val="0"/>
          <w:sz w:val="48"/>
          <w:szCs w:val="48"/>
          <w:lang w:val="zh-CN" w:bidi="zh-CN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48"/>
          <w:szCs w:val="48"/>
          <w:lang w:val="zh-CN" w:bidi="zh-CN"/>
        </w:rPr>
        <w:t>研究生优秀教材</w:t>
      </w:r>
      <w:r>
        <w:rPr>
          <w:rFonts w:hint="eastAsia" w:ascii="华文中宋" w:hAnsi="华文中宋" w:eastAsia="华文中宋" w:cs="华文中宋"/>
          <w:b/>
          <w:bCs/>
          <w:kern w:val="0"/>
          <w:sz w:val="48"/>
          <w:szCs w:val="48"/>
          <w:lang w:val="zh-CN" w:eastAsia="zh-CN" w:bidi="zh-CN"/>
        </w:rPr>
        <w:t>建设项目</w:t>
      </w:r>
      <w:r>
        <w:rPr>
          <w:rFonts w:hint="eastAsia" w:ascii="华文中宋" w:hAnsi="华文中宋" w:eastAsia="华文中宋" w:cs="华文中宋"/>
          <w:b/>
          <w:bCs/>
          <w:kern w:val="0"/>
          <w:sz w:val="48"/>
          <w:szCs w:val="48"/>
          <w:lang w:val="zh-CN" w:bidi="zh-CN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8"/>
        <w:tblW w:w="68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</w:t>
            </w:r>
            <w:r>
              <w:rPr>
                <w:rFonts w:hint="eastAsia" w:eastAsia="黑体"/>
                <w:spacing w:val="80"/>
                <w:sz w:val="32"/>
                <w:szCs w:val="32"/>
              </w:rPr>
              <w:t>院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适 用 类 型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hint="eastAsia" w:eastAsia="仿宋_GB2312"/>
          <w:sz w:val="32"/>
          <w:lang w:eastAsia="zh-CN"/>
        </w:rPr>
      </w:pPr>
    </w:p>
    <w:p>
      <w:pPr>
        <w:jc w:val="center"/>
        <w:rPr>
          <w:rFonts w:hint="eastAsia" w:eastAsia="仿宋_GB2312"/>
          <w:sz w:val="32"/>
          <w:lang w:eastAsia="zh-CN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1"/>
        <w:gridCol w:w="17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641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22"/>
                <w:lang w:eastAsia="zh-CN"/>
              </w:rPr>
              <w:t>研究生院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22"/>
                <w:lang w:eastAsia="zh-CN"/>
              </w:rPr>
              <w:t>制表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2"/>
          <w:szCs w:val="22"/>
          <w:lang w:eastAsia="zh-CN"/>
        </w:rPr>
        <w:sectPr>
          <w:footerReference r:id="rId3" w:type="default"/>
          <w:footerReference r:id="rId4" w:type="even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32"/>
          <w:szCs w:val="22"/>
          <w:lang w:eastAsia="zh-CN"/>
        </w:rPr>
        <w:t>二O二</w:t>
      </w:r>
      <w:r>
        <w:rPr>
          <w:rFonts w:hint="eastAsia" w:ascii="黑体" w:hAnsi="黑体" w:eastAsia="黑体" w:cs="黑体"/>
          <w:sz w:val="32"/>
          <w:szCs w:val="2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22"/>
          <w:lang w:eastAsia="zh-CN"/>
        </w:rPr>
        <w:t xml:space="preserve">年 </w:t>
      </w:r>
      <w:r>
        <w:rPr>
          <w:rFonts w:hint="eastAsia" w:ascii="黑体" w:hAnsi="黑体" w:eastAsia="黑体" w:cs="黑体"/>
          <w:sz w:val="32"/>
          <w:szCs w:val="2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22"/>
          <w:lang w:eastAsia="zh-CN"/>
        </w:rPr>
        <w:t xml:space="preserve"> 月</w:t>
      </w:r>
    </w:p>
    <w:p>
      <w:pPr>
        <w:outlineLvl w:val="0"/>
        <w:rPr>
          <w:rFonts w:eastAsia="黑体"/>
          <w:sz w:val="36"/>
        </w:rPr>
      </w:pPr>
    </w:p>
    <w:p>
      <w:pPr>
        <w:outlineLvl w:val="0"/>
        <w:rPr>
          <w:rFonts w:eastAsia="黑体"/>
          <w:sz w:val="36"/>
        </w:rPr>
      </w:pPr>
    </w:p>
    <w:p>
      <w:pPr>
        <w:jc w:val="center"/>
        <w:rPr>
          <w:rFonts w:hint="eastAsia" w:eastAsia="黑体"/>
          <w:sz w:val="36"/>
        </w:rPr>
      </w:pP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、封面中教材适用类型只能选择“</w:t>
      </w:r>
      <w:r>
        <w:rPr>
          <w:rFonts w:hint="eastAsia" w:eastAsia="仿宋_GB2312"/>
          <w:sz w:val="32"/>
          <w:szCs w:val="32"/>
        </w:rPr>
        <w:t>硕士</w:t>
      </w:r>
      <w:r>
        <w:rPr>
          <w:rFonts w:eastAsia="仿宋_GB2312"/>
          <w:sz w:val="32"/>
          <w:szCs w:val="32"/>
        </w:rPr>
        <w:t>”或“</w:t>
      </w:r>
      <w:r>
        <w:rPr>
          <w:rFonts w:hint="eastAsia" w:eastAsia="仿宋_GB2312"/>
          <w:sz w:val="32"/>
          <w:szCs w:val="32"/>
        </w:rPr>
        <w:t>博士</w:t>
      </w:r>
      <w:r>
        <w:rPr>
          <w:rFonts w:eastAsia="仿宋_GB2312"/>
          <w:sz w:val="32"/>
          <w:szCs w:val="32"/>
        </w:rPr>
        <w:t>”中的1种填报。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</w:t>
      </w:r>
      <w:r>
        <w:rPr>
          <w:rFonts w:eastAsia="仿宋_GB2312"/>
          <w:sz w:val="32"/>
          <w:szCs w:val="32"/>
        </w:rPr>
        <w:t>、有关证明材料请附在申报表后，无须另作附件。</w:t>
      </w:r>
    </w:p>
    <w:p>
      <w:pPr>
        <w:pStyle w:val="6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6"/>
        <w:spacing w:line="520" w:lineRule="exact"/>
        <w:ind w:leftChars="0" w:right="-94" w:rightChars="-45" w:hanging="420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0"/>
        </w:rPr>
        <w:t>教材情况</w:t>
      </w:r>
    </w:p>
    <w:tbl>
      <w:tblPr>
        <w:tblStyle w:val="8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适用范围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199" w:leftChars="95" w:firstLine="720" w:firstLineChars="3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     □</w:t>
            </w:r>
            <w:r>
              <w:rPr>
                <w:rFonts w:hint="eastAsia" w:eastAsia="仿宋_GB2312"/>
                <w:sz w:val="24"/>
                <w:szCs w:val="24"/>
              </w:rPr>
              <w:t>专业</w:t>
            </w:r>
            <w:r>
              <w:rPr>
                <w:rFonts w:eastAsia="仿宋_GB2312"/>
                <w:sz w:val="24"/>
                <w:szCs w:val="24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</w:rPr>
              <w:t>硕士</w:t>
            </w:r>
            <w:r>
              <w:rPr>
                <w:rFonts w:eastAsia="仿宋_GB2312"/>
                <w:sz w:val="24"/>
                <w:szCs w:val="24"/>
              </w:rPr>
              <w:t>生       □</w:t>
            </w:r>
            <w:r>
              <w:rPr>
                <w:rFonts w:hint="eastAsia" w:eastAsia="仿宋_GB2312"/>
                <w:sz w:val="24"/>
                <w:szCs w:val="24"/>
              </w:rPr>
              <w:t>博士</w:t>
            </w:r>
            <w:r>
              <w:rPr>
                <w:rFonts w:eastAsia="仿宋_GB2312"/>
                <w:sz w:val="24"/>
                <w:szCs w:val="24"/>
              </w:rPr>
              <w:t>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both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both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6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6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6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6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6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pStyle w:val="6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</w:p>
    <w:p>
      <w:pPr>
        <w:pStyle w:val="6"/>
        <w:spacing w:line="520" w:lineRule="exact"/>
        <w:ind w:leftChars="0" w:right="-94" w:rightChars="-45" w:hanging="42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教材简介</w:t>
      </w:r>
    </w:p>
    <w:tbl>
      <w:tblPr>
        <w:tblStyle w:val="8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（需说明填补的空白或与已出版的同类代表性教材比较）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教材</w:t>
            </w:r>
            <w:r>
              <w:rPr>
                <w:rFonts w:hint="eastAsia" w:eastAsia="仿宋_GB2312"/>
                <w:sz w:val="24"/>
                <w:lang w:eastAsia="zh-CN"/>
              </w:rPr>
              <w:t>主要内容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</w:t>
            </w:r>
            <w:r>
              <w:rPr>
                <w:rFonts w:hint="eastAsia" w:eastAsia="仿宋_GB2312"/>
                <w:sz w:val="24"/>
                <w:lang w:eastAsia="zh-CN"/>
              </w:rPr>
              <w:t>教材基本概况、知识章节架构、</w:t>
            </w:r>
            <w:r>
              <w:rPr>
                <w:rFonts w:eastAsia="仿宋_GB2312"/>
                <w:sz w:val="24"/>
              </w:rPr>
              <w:t>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6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hint="eastAsia" w:ascii="黑体" w:hAnsi="黑体" w:eastAsia="黑体" w:cs="黑体"/>
          <w:sz w:val="32"/>
          <w:szCs w:val="32"/>
        </w:rPr>
        <w:t>工作方案</w:t>
      </w:r>
    </w:p>
    <w:tbl>
      <w:tblPr>
        <w:tblStyle w:val="8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65" w:hRule="atLeast"/>
          <w:jc w:val="center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开展</w:t>
            </w: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hint="eastAsia" w:eastAsia="仿宋_GB2312"/>
                <w:sz w:val="24"/>
                <w:lang w:eastAsia="zh-CN"/>
              </w:rPr>
              <w:t>编写</w:t>
            </w:r>
            <w:r>
              <w:rPr>
                <w:rFonts w:eastAsia="仿宋_GB2312"/>
                <w:sz w:val="24"/>
              </w:rPr>
              <w:t>的</w:t>
            </w:r>
            <w:r>
              <w:rPr>
                <w:rFonts w:hint="eastAsia" w:eastAsia="仿宋_GB2312"/>
                <w:sz w:val="24"/>
                <w:lang w:eastAsia="zh-CN"/>
              </w:rPr>
              <w:t>工作计划、实施步骤、</w:t>
            </w:r>
            <w:r>
              <w:rPr>
                <w:rFonts w:eastAsia="仿宋_GB2312"/>
                <w:sz w:val="24"/>
              </w:rPr>
              <w:t>经费保障、出版发行等内容</w:t>
            </w:r>
            <w:r>
              <w:rPr>
                <w:rFonts w:hint="eastAsia" w:eastAsia="仿宋_GB2312"/>
                <w:sz w:val="24"/>
              </w:rPr>
              <w:t>。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8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</w:t>
            </w:r>
            <w:r>
              <w:rPr>
                <w:rFonts w:eastAsia="仿宋_GB2312"/>
                <w:sz w:val="24"/>
              </w:rPr>
              <w:br w:type="page"/>
            </w:r>
            <w:r>
              <w:rPr>
                <w:rFonts w:eastAsia="仿宋_GB2312"/>
                <w:sz w:val="24"/>
              </w:rPr>
              <w:t>院评价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（公章） </w:t>
            </w:r>
            <w:r>
              <w:rPr>
                <w:rFonts w:eastAsia="仿宋_GB2312"/>
                <w:sz w:val="24"/>
              </w:rPr>
              <w:t xml:space="preserve">      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学院党组织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（公章） 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rFonts w:hint="eastAsia" w:eastAsia="仿宋_GB2312"/>
                <w:sz w:val="24"/>
              </w:rPr>
              <w:t>负责人</w:t>
            </w:r>
            <w:r>
              <w:rPr>
                <w:rFonts w:eastAsia="仿宋_GB2312"/>
                <w:sz w:val="24"/>
              </w:rPr>
              <w:t>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4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研究生院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5760" w:firstLineChars="2400"/>
              <w:jc w:val="both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（公章）  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-3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ins w:id="0" w:author="郭晓鹏" w:date="2021-10-08T19:44:28Z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ins w:id="1" w:author="郭晓鹏" w:date="2021-10-08T19:44:28Z"/>
        <w:rStyle w:val="11"/>
      </w:rPr>
    </w:pPr>
    <w:ins w:id="2" w:author="郭晓鹏" w:date="2021-10-08T19:44:28Z">
      <w:r>
        <w:rPr>
          <w:rStyle w:val="11"/>
        </w:rPr>
        <w:fldChar w:fldCharType="begin"/>
      </w:r>
    </w:ins>
    <w:ins w:id="3" w:author="郭晓鹏" w:date="2021-10-08T19:44:28Z">
      <w:r>
        <w:rPr>
          <w:rStyle w:val="11"/>
        </w:rPr>
        <w:instrText xml:space="preserve">PAGE  </w:instrText>
      </w:r>
    </w:ins>
    <w:ins w:id="4" w:author="郭晓鹏" w:date="2021-10-08T19:44:28Z">
      <w:r>
        <w:rPr>
          <w:rStyle w:val="11"/>
        </w:rPr>
        <w:fldChar w:fldCharType="end"/>
      </w:r>
    </w:ins>
  </w:p>
  <w:p>
    <w:pPr>
      <w:pStyle w:val="5"/>
      <w:ind w:right="360"/>
      <w:rPr>
        <w:ins w:id="5" w:author="郭晓鹏" w:date="2021-10-08T19:44:28Z"/>
      </w:rPr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郭晓鹏">
    <w15:presenceInfo w15:providerId="WPS Office" w15:userId="23556672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C6779"/>
    <w:rsid w:val="001B1686"/>
    <w:rsid w:val="0076441E"/>
    <w:rsid w:val="009A6ECB"/>
    <w:rsid w:val="00D3451C"/>
    <w:rsid w:val="02390E5A"/>
    <w:rsid w:val="02D54C95"/>
    <w:rsid w:val="03630825"/>
    <w:rsid w:val="03A7771C"/>
    <w:rsid w:val="042A60A2"/>
    <w:rsid w:val="04F54C2D"/>
    <w:rsid w:val="056679F2"/>
    <w:rsid w:val="05F770D5"/>
    <w:rsid w:val="060A15DA"/>
    <w:rsid w:val="06502E97"/>
    <w:rsid w:val="0749678D"/>
    <w:rsid w:val="0785513A"/>
    <w:rsid w:val="0788576E"/>
    <w:rsid w:val="08391703"/>
    <w:rsid w:val="09822AAB"/>
    <w:rsid w:val="09892BFB"/>
    <w:rsid w:val="099B0A1D"/>
    <w:rsid w:val="0AAD0047"/>
    <w:rsid w:val="0ADD0682"/>
    <w:rsid w:val="0B432AF4"/>
    <w:rsid w:val="0B6474B4"/>
    <w:rsid w:val="0BC3598F"/>
    <w:rsid w:val="0C195DD2"/>
    <w:rsid w:val="0C4D6123"/>
    <w:rsid w:val="0EBF27CE"/>
    <w:rsid w:val="0F453F7C"/>
    <w:rsid w:val="0F906D5C"/>
    <w:rsid w:val="10486E05"/>
    <w:rsid w:val="11801CF7"/>
    <w:rsid w:val="11DD24F2"/>
    <w:rsid w:val="12B53AE6"/>
    <w:rsid w:val="1356601C"/>
    <w:rsid w:val="1433177A"/>
    <w:rsid w:val="144A0DF4"/>
    <w:rsid w:val="15801639"/>
    <w:rsid w:val="184526CA"/>
    <w:rsid w:val="1B7A2525"/>
    <w:rsid w:val="1BAD750E"/>
    <w:rsid w:val="1BEE45DD"/>
    <w:rsid w:val="1C164CA1"/>
    <w:rsid w:val="1C3B7723"/>
    <w:rsid w:val="1E6F17F6"/>
    <w:rsid w:val="206F45FF"/>
    <w:rsid w:val="20BA06DC"/>
    <w:rsid w:val="21E264F5"/>
    <w:rsid w:val="229376D0"/>
    <w:rsid w:val="230245D3"/>
    <w:rsid w:val="23837479"/>
    <w:rsid w:val="2450637B"/>
    <w:rsid w:val="246E6E43"/>
    <w:rsid w:val="24B779D7"/>
    <w:rsid w:val="24EA5721"/>
    <w:rsid w:val="2627116B"/>
    <w:rsid w:val="26716E1F"/>
    <w:rsid w:val="277B1A99"/>
    <w:rsid w:val="27843768"/>
    <w:rsid w:val="27C537B6"/>
    <w:rsid w:val="284461FA"/>
    <w:rsid w:val="28581EBE"/>
    <w:rsid w:val="285E7AD3"/>
    <w:rsid w:val="29661C39"/>
    <w:rsid w:val="2A541726"/>
    <w:rsid w:val="2B1A6378"/>
    <w:rsid w:val="2BFE1922"/>
    <w:rsid w:val="2C295BF5"/>
    <w:rsid w:val="2C6C05B5"/>
    <w:rsid w:val="2C8114A7"/>
    <w:rsid w:val="2CC80106"/>
    <w:rsid w:val="2D5B37BB"/>
    <w:rsid w:val="2D6C7365"/>
    <w:rsid w:val="2DA0526B"/>
    <w:rsid w:val="2E5C1151"/>
    <w:rsid w:val="2E897F54"/>
    <w:rsid w:val="2EB55B79"/>
    <w:rsid w:val="2EBF543C"/>
    <w:rsid w:val="2EDF0632"/>
    <w:rsid w:val="2FAE3E8F"/>
    <w:rsid w:val="3068682A"/>
    <w:rsid w:val="318B1665"/>
    <w:rsid w:val="34602690"/>
    <w:rsid w:val="346B66CD"/>
    <w:rsid w:val="34D35EB0"/>
    <w:rsid w:val="34D730FA"/>
    <w:rsid w:val="34DD54FC"/>
    <w:rsid w:val="34F97A2B"/>
    <w:rsid w:val="36402039"/>
    <w:rsid w:val="369C7364"/>
    <w:rsid w:val="37397727"/>
    <w:rsid w:val="380B113C"/>
    <w:rsid w:val="387D2B45"/>
    <w:rsid w:val="395F17F9"/>
    <w:rsid w:val="39AE514F"/>
    <w:rsid w:val="39D641F7"/>
    <w:rsid w:val="3B1723D9"/>
    <w:rsid w:val="3B5930D6"/>
    <w:rsid w:val="3BB80396"/>
    <w:rsid w:val="3BE31DE6"/>
    <w:rsid w:val="3CBA2B47"/>
    <w:rsid w:val="3D5E4F69"/>
    <w:rsid w:val="3E7316B6"/>
    <w:rsid w:val="402404B4"/>
    <w:rsid w:val="41731730"/>
    <w:rsid w:val="41E958C9"/>
    <w:rsid w:val="41EC6779"/>
    <w:rsid w:val="423C702D"/>
    <w:rsid w:val="42985E2D"/>
    <w:rsid w:val="43C27DED"/>
    <w:rsid w:val="44585D84"/>
    <w:rsid w:val="448C15BA"/>
    <w:rsid w:val="45663A1A"/>
    <w:rsid w:val="456B3345"/>
    <w:rsid w:val="467771DC"/>
    <w:rsid w:val="46885967"/>
    <w:rsid w:val="47BF266B"/>
    <w:rsid w:val="47C55F05"/>
    <w:rsid w:val="48220F38"/>
    <w:rsid w:val="482900F3"/>
    <w:rsid w:val="4B0901ED"/>
    <w:rsid w:val="4C5A669F"/>
    <w:rsid w:val="4CBA33DF"/>
    <w:rsid w:val="4CE80504"/>
    <w:rsid w:val="4D0748C0"/>
    <w:rsid w:val="4F982B59"/>
    <w:rsid w:val="4FA8709A"/>
    <w:rsid w:val="512544E7"/>
    <w:rsid w:val="54421F69"/>
    <w:rsid w:val="587B5D74"/>
    <w:rsid w:val="59504B6F"/>
    <w:rsid w:val="59D54B31"/>
    <w:rsid w:val="5A74296A"/>
    <w:rsid w:val="5A857072"/>
    <w:rsid w:val="5A8E420F"/>
    <w:rsid w:val="5B886070"/>
    <w:rsid w:val="5B9B5B6E"/>
    <w:rsid w:val="5BB74122"/>
    <w:rsid w:val="5C1B40FF"/>
    <w:rsid w:val="5D316B9C"/>
    <w:rsid w:val="5EB80D18"/>
    <w:rsid w:val="5ED61E71"/>
    <w:rsid w:val="5F0D4D62"/>
    <w:rsid w:val="5FB673AC"/>
    <w:rsid w:val="5FC35101"/>
    <w:rsid w:val="60047B86"/>
    <w:rsid w:val="6188755F"/>
    <w:rsid w:val="61A732B2"/>
    <w:rsid w:val="61C26629"/>
    <w:rsid w:val="61E4185A"/>
    <w:rsid w:val="62437D5D"/>
    <w:rsid w:val="63223671"/>
    <w:rsid w:val="634A553C"/>
    <w:rsid w:val="63BB2D5B"/>
    <w:rsid w:val="640B6DBC"/>
    <w:rsid w:val="657D7B88"/>
    <w:rsid w:val="65D465E2"/>
    <w:rsid w:val="66187BF9"/>
    <w:rsid w:val="664E1AFA"/>
    <w:rsid w:val="668141C9"/>
    <w:rsid w:val="66957B59"/>
    <w:rsid w:val="671829E1"/>
    <w:rsid w:val="67E01E42"/>
    <w:rsid w:val="692C4763"/>
    <w:rsid w:val="693A72E1"/>
    <w:rsid w:val="69836C27"/>
    <w:rsid w:val="6A674A3D"/>
    <w:rsid w:val="6AB22318"/>
    <w:rsid w:val="6AB57FB4"/>
    <w:rsid w:val="6AC30B15"/>
    <w:rsid w:val="6B104B41"/>
    <w:rsid w:val="6B3F20AE"/>
    <w:rsid w:val="6D55095A"/>
    <w:rsid w:val="6E573207"/>
    <w:rsid w:val="6E993A3E"/>
    <w:rsid w:val="6FF00FA9"/>
    <w:rsid w:val="711642C4"/>
    <w:rsid w:val="71C40774"/>
    <w:rsid w:val="72B81BEC"/>
    <w:rsid w:val="73346A79"/>
    <w:rsid w:val="737B2789"/>
    <w:rsid w:val="73B30DF6"/>
    <w:rsid w:val="74211B11"/>
    <w:rsid w:val="747A7843"/>
    <w:rsid w:val="76E80086"/>
    <w:rsid w:val="775F62E4"/>
    <w:rsid w:val="77AF080C"/>
    <w:rsid w:val="77EC6AE6"/>
    <w:rsid w:val="7A32102E"/>
    <w:rsid w:val="7A4C6A6A"/>
    <w:rsid w:val="7C4F0AF5"/>
    <w:rsid w:val="7D963AFC"/>
    <w:rsid w:val="7DD0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09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002B5E"/>
      <w:u w:val="none"/>
    </w:rPr>
  </w:style>
  <w:style w:type="character" w:styleId="13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2021-04-08T06:57:00Z</dcterms:created>
  <dc:creator>Dell</dc:creator>
  <cp:lastModifiedBy>郭晓鹏</cp:lastModifiedBy>
  <cp:lastPrinted>2021-06-04T01:50:00Z</cp:lastPrinted>
  <dcterms:modified xsi:type="dcterms:W3CDTF">2021-10-25T08:16:58Z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5E7B072D22824E128972F0E66583ED80</vt:lpwstr>
  </property>
  <property fmtid="{D5CDD505-2E9C-101B-9397-08002B2CF9AE}" pid="4" name="KSOSaveFontToCloudKey">
    <vt:lpwstr>438910050_cloud</vt:lpwstr>
  </property>
</Properties>
</file>