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DE9" w:rsidRPr="00277A39" w:rsidRDefault="00A31DE9" w:rsidP="00A31DE9">
      <w:pPr>
        <w:widowControl/>
        <w:adjustRightInd w:val="0"/>
        <w:snapToGrid w:val="0"/>
        <w:ind w:firstLine="360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附件1： </w:t>
      </w:r>
    </w:p>
    <w:p w:rsidR="00A31DE9" w:rsidRPr="00277A39" w:rsidRDefault="00A31DE9" w:rsidP="00A31DE9">
      <w:pPr>
        <w:widowControl/>
        <w:adjustRightInd w:val="0"/>
        <w:snapToGrid w:val="0"/>
        <w:ind w:firstLine="360"/>
        <w:jc w:val="center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2021年度江苏省社科应用研究精品工程 </w:t>
      </w:r>
    </w:p>
    <w:p w:rsidR="00A31DE9" w:rsidRPr="00277A39" w:rsidRDefault="00A31DE9" w:rsidP="00A31DE9">
      <w:pPr>
        <w:widowControl/>
        <w:adjustRightInd w:val="0"/>
        <w:snapToGrid w:val="0"/>
        <w:ind w:firstLine="360"/>
        <w:jc w:val="center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财经发展专项课题申报指南 </w:t>
      </w:r>
    </w:p>
    <w:p w:rsidR="00A31DE9" w:rsidRPr="00277A39" w:rsidRDefault="00A31DE9" w:rsidP="00A31DE9">
      <w:pPr>
        <w:widowControl/>
        <w:adjustRightInd w:val="0"/>
        <w:snapToGrid w:val="0"/>
        <w:ind w:firstLine="36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 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1.全面实施预算绩效管理的相关问题研究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2.健全管资本为主的国有资产监管体制研究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3.推动创新型中小</w:t>
      </w:r>
      <w:proofErr w:type="gramStart"/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>微企业</w:t>
      </w:r>
      <w:proofErr w:type="gramEnd"/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成长的财税政策研究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4.公共基础设施的会计相关问题研究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5.权责发生制政府综合财务报告的相关问题研究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6.数据资源的会计相关问题研究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7.新租赁准则的政策效应研究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8.新金融工具准则的政策效应研究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9.新发展格局下江苏上市公司高质量发展评价研究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10.“一带一路”背景下江苏国有企业境外投资监管研究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11.江苏国有企业混合所有制改革的相关问题研究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12.管理会计综合案例和工具案例研究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13.绩效导向下的单位成本管理研究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14.新经济时代管理会计人才能力框架研究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15.各类型基层行政事业单位内部控制体系研究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16.江苏企业数字化转型的相关问题研究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17.促进产业链和供应链现代化的金融创新研究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18.促进基础研究的税收政策研究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19.促进国内国际双循环的税收政策研究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20.会计师事务所审计质量评价与提升研究 </w:t>
      </w:r>
    </w:p>
    <w:p w:rsidR="00A31DE9" w:rsidRPr="00277A39" w:rsidRDefault="00A31DE9" w:rsidP="00A31DE9">
      <w:pPr>
        <w:widowControl/>
        <w:adjustRightInd w:val="0"/>
        <w:snapToGrid w:val="0"/>
        <w:ind w:firstLine="640"/>
        <w:jc w:val="left"/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</w:pPr>
      <w:r w:rsidRPr="00277A39">
        <w:rPr>
          <w:rFonts w:ascii="微软雅黑" w:eastAsia="微软雅黑" w:hAnsi="微软雅黑" w:cs="Helvetica" w:hint="eastAsia"/>
          <w:color w:val="333333"/>
          <w:kern w:val="0"/>
          <w:sz w:val="24"/>
          <w:szCs w:val="24"/>
        </w:rPr>
        <w:t xml:space="preserve">21.领导干部自然资源资产离任审计相关问题研究 </w:t>
      </w:r>
    </w:p>
    <w:p w:rsidR="00A31DE9" w:rsidRPr="00277A39" w:rsidRDefault="00A31DE9" w:rsidP="00A31DE9">
      <w:pPr>
        <w:adjustRightInd w:val="0"/>
        <w:snapToGrid w:val="0"/>
        <w:rPr>
          <w:rFonts w:hint="eastAsia"/>
        </w:rPr>
      </w:pPr>
    </w:p>
    <w:p w:rsidR="0066340E" w:rsidRPr="00A31DE9" w:rsidRDefault="0066340E">
      <w:bookmarkStart w:id="0" w:name="_GoBack"/>
      <w:bookmarkEnd w:id="0"/>
    </w:p>
    <w:sectPr w:rsidR="0066340E" w:rsidRPr="00A31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DE9"/>
    <w:rsid w:val="0066340E"/>
    <w:rsid w:val="00A31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F75CCA-9407-44E4-B443-0AEB53D3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DE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NJAU</dc:creator>
  <cp:keywords/>
  <dc:description/>
  <cp:lastModifiedBy>NJAU</cp:lastModifiedBy>
  <cp:revision>1</cp:revision>
  <dcterms:created xsi:type="dcterms:W3CDTF">2021-06-01T07:50:00Z</dcterms:created>
  <dcterms:modified xsi:type="dcterms:W3CDTF">2021-06-01T07:51:00Z</dcterms:modified>
</cp:coreProperties>
</file>